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ROSAC0027ZPB</w:t>
      </w:r>
    </w:p>
    <w:p w:rsidR="00000000" w:rsidDel="00000000" w:rsidP="00000000" w:rsidRDefault="00000000" w:rsidRPr="00000000" w14:paraId="00000006">
      <w:pPr>
        <w:rPr>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Cheile Bicazului - Hășmaș</w:t>
      </w:r>
    </w:p>
    <w:p w:rsidR="00000000" w:rsidDel="00000000" w:rsidP="00000000" w:rsidRDefault="00000000" w:rsidRPr="00000000" w14:paraId="00000009">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B">
      <w:pPr>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C">
      <w:pPr>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C">
            <w:pPr>
              <w:rPr>
                <w:sz w:val="22"/>
                <w:szCs w:val="22"/>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sidDel="00000000" w:rsidR="00000000" w:rsidRPr="00000000">
                    <w:rPr>
                      <w:rtl w:val="0"/>
                    </w:rPr>
                  </w:r>
                </w:p>
              </w:tc>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A">
            <w:pPr>
              <w:rPr>
                <w:sz w:val="22"/>
                <w:szCs w:val="22"/>
              </w:rPr>
            </w:pPr>
            <w:r w:rsidDel="00000000" w:rsidR="00000000" w:rsidRPr="00000000">
              <w:rPr>
                <w:rtl w:val="0"/>
              </w:rPr>
            </w:r>
          </w:p>
        </w:tc>
      </w:tr>
    </w:tbl>
    <w:p w:rsidR="00000000" w:rsidDel="00000000" w:rsidP="00000000" w:rsidRDefault="00000000" w:rsidRPr="00000000" w14:paraId="0000002B">
      <w:pPr>
        <w:rPr>
          <w:sz w:val="22"/>
          <w:szCs w:val="22"/>
        </w:rPr>
      </w:pPr>
      <w:r w:rsidDel="00000000" w:rsidR="00000000" w:rsidRPr="00000000">
        <w:rPr>
          <w:rtl w:val="0"/>
        </w:rPr>
      </w:r>
    </w:p>
    <w:p w:rsidR="00000000" w:rsidDel="00000000" w:rsidP="00000000" w:rsidRDefault="00000000" w:rsidRPr="00000000" w14:paraId="0000002C">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jc w:val="both"/>
        <w:rPr>
          <w:sz w:val="22"/>
          <w:szCs w:val="22"/>
        </w:rPr>
      </w:pPr>
      <w:r w:rsidDel="00000000" w:rsidR="00000000" w:rsidRPr="00000000">
        <w:rPr>
          <w:rtl w:val="0"/>
        </w:rPr>
      </w:r>
    </w:p>
    <w:p w:rsidR="00000000" w:rsidDel="00000000" w:rsidP="00000000" w:rsidRDefault="00000000" w:rsidRPr="00000000" w14:paraId="00000041">
      <w:pPr>
        <w:rPr>
          <w:sz w:val="22"/>
          <w:szCs w:val="22"/>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5">
      <w:pPr>
        <w:jc w:val="center"/>
        <w:rPr>
          <w:sz w:val="22"/>
          <w:szCs w:val="22"/>
        </w:rPr>
      </w:pPr>
      <w:r w:rsidDel="00000000" w:rsidR="00000000" w:rsidRPr="00000000">
        <w:rPr>
          <w:rtl w:val="0"/>
        </w:rPr>
      </w:r>
    </w:p>
    <w:p w:rsidR="00000000" w:rsidDel="00000000" w:rsidP="00000000" w:rsidRDefault="00000000" w:rsidRPr="00000000" w14:paraId="00000046">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70,91</w:t>
      </w:r>
    </w:p>
    <w:p w:rsidR="00000000" w:rsidDel="00000000" w:rsidP="00000000" w:rsidRDefault="00000000" w:rsidRPr="00000000" w14:paraId="00000048">
      <w:pPr>
        <w:spacing w:after="80" w:before="80" w:line="240" w:lineRule="auto"/>
        <w:jc w:val="both"/>
        <w:rPr>
          <w:i w:val="1"/>
          <w:iCs w:val="1"/>
          <w:sz w:val="22"/>
          <w:szCs w:val="22"/>
        </w:rPr>
      </w:pPr>
      <w:r w:rsidDel="00000000" w:rsidR="00000000" w:rsidRPr="00000000">
        <w:rPr>
          <w:i w:val="1"/>
          <w:iCs w:val="1"/>
          <w:sz w:val="22"/>
          <w:szCs w:val="22"/>
          <w:rtl w:val="0"/>
        </w:rPr>
        <w:t xml:space="preserve">Observație: O parte din suprafața sitului este declarată ca ZPB integrat cu RONPA0007 Parcul Național Cheile Bicazului - Hășmaș.</w:t>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0,93%</w:t>
      </w:r>
    </w:p>
    <w:p w:rsidR="00000000" w:rsidDel="00000000" w:rsidP="00000000" w:rsidRDefault="00000000" w:rsidRPr="00000000" w14:paraId="0000004B">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C">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D">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sidDel="00000000" w:rsidR="00000000" w:rsidRPr="00000000">
              <w:rPr>
                <w:sz w:val="22"/>
                <w:szCs w:val="22"/>
                <w:rtl w:val="0"/>
              </w:rPr>
              <w:t xml:space="preserve">RO12, RO21</w:t>
            </w:r>
          </w:p>
        </w:tc>
        <w:tc>
          <w:tcPr/>
          <w:p w:rsidR="00000000" w:rsidDel="00000000" w:rsidP="00000000" w:rsidRDefault="00000000" w:rsidRPr="00000000" w14:paraId="00000050">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sz w:val="22"/>
                <w:szCs w:val="22"/>
              </w:rPr>
            </w:pPr>
            <w:r w:rsidDel="00000000" w:rsidR="00000000" w:rsidRPr="00000000">
              <w:rPr>
                <w:sz w:val="22"/>
                <w:szCs w:val="22"/>
                <w:rtl w:val="0"/>
              </w:rPr>
              <w:t xml:space="preserve">Centru, Nord-Est</w:t>
            </w:r>
          </w:p>
        </w:tc>
      </w:tr>
    </w:tbl>
    <w:p w:rsidR="00000000" w:rsidDel="00000000" w:rsidP="00000000" w:rsidRDefault="00000000" w:rsidRPr="00000000" w14:paraId="00000052">
      <w:pPr>
        <w:rPr>
          <w:sz w:val="22"/>
          <w:szCs w:val="22"/>
        </w:rPr>
      </w:pPr>
      <w:r w:rsidDel="00000000" w:rsidR="00000000" w:rsidRPr="00000000">
        <w:rPr>
          <w:rtl w:val="0"/>
        </w:rPr>
      </w:r>
    </w:p>
    <w:p w:rsidR="00000000" w:rsidDel="00000000" w:rsidP="00000000" w:rsidRDefault="00000000" w:rsidRPr="00000000" w14:paraId="00000053">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4">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Harghita, Neamț</w:t>
      </w:r>
    </w:p>
    <w:p w:rsidR="00000000" w:rsidDel="00000000" w:rsidP="00000000" w:rsidRDefault="00000000" w:rsidRPr="00000000" w14:paraId="00000055">
      <w:pPr>
        <w:rPr>
          <w:sz w:val="22"/>
          <w:szCs w:val="22"/>
        </w:rPr>
      </w:pPr>
      <w:r w:rsidDel="00000000" w:rsidR="00000000" w:rsidRPr="00000000">
        <w:rPr>
          <w:rtl w:val="0"/>
        </w:rPr>
      </w:r>
    </w:p>
    <w:p w:rsidR="00000000" w:rsidDel="00000000" w:rsidP="00000000" w:rsidRDefault="00000000" w:rsidRPr="00000000" w14:paraId="00000056">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7">
            <w:pPr>
              <w:rPr>
                <w:sz w:val="22"/>
                <w:szCs w:val="22"/>
              </w:rPr>
            </w:pPr>
            <w:r w:rsidDel="00000000" w:rsidR="00000000" w:rsidRPr="00000000">
              <w:rPr>
                <w:sz w:val="22"/>
                <w:szCs w:val="22"/>
                <w:rtl w:val="0"/>
              </w:rPr>
              <w:t xml:space="preserve">☑ Alpină 100%</w:t>
            </w:r>
          </w:p>
        </w:tc>
        <w:tc>
          <w:tcPr/>
          <w:p w:rsidR="00000000" w:rsidDel="00000000" w:rsidP="00000000" w:rsidRDefault="00000000" w:rsidRPr="00000000" w14:paraId="00000058">
            <w:pPr>
              <w:rPr>
                <w:sz w:val="22"/>
                <w:szCs w:val="22"/>
              </w:rPr>
            </w:pPr>
            <w:r w:rsidDel="00000000" w:rsidR="00000000" w:rsidRPr="00000000">
              <w:rPr>
                <w:rtl w:val="0"/>
              </w:rPr>
            </w:r>
          </w:p>
        </w:tc>
        <w:tc>
          <w:tcPr/>
          <w:p w:rsidR="00000000" w:rsidDel="00000000" w:rsidP="00000000" w:rsidRDefault="00000000" w:rsidRPr="00000000" w14:paraId="00000059">
            <w:pPr>
              <w:rPr>
                <w:sz w:val="22"/>
                <w:szCs w:val="22"/>
              </w:rPr>
            </w:pPr>
            <w:r w:rsidDel="00000000" w:rsidR="00000000" w:rsidRPr="00000000">
              <w:rPr>
                <w:sz w:val="22"/>
                <w:szCs w:val="22"/>
                <w:rtl w:val="0"/>
              </w:rPr>
              <w:t xml:space="preserve">☐ Continentală %</w:t>
            </w:r>
          </w:p>
        </w:tc>
        <w:tc>
          <w:tcPr/>
          <w:p w:rsidR="00000000" w:rsidDel="00000000" w:rsidP="00000000" w:rsidRDefault="00000000" w:rsidRPr="00000000" w14:paraId="0000005A">
            <w:pPr>
              <w:rPr>
                <w:sz w:val="22"/>
                <w:szCs w:val="22"/>
              </w:rPr>
            </w:pPr>
            <w:r w:rsidDel="00000000" w:rsidR="00000000" w:rsidRPr="00000000">
              <w:rPr>
                <w:rtl w:val="0"/>
              </w:rPr>
            </w:r>
          </w:p>
        </w:tc>
        <w:tc>
          <w:tcPr/>
          <w:p w:rsidR="00000000" w:rsidDel="00000000" w:rsidP="00000000" w:rsidRDefault="00000000" w:rsidRPr="00000000" w14:paraId="0000005B">
            <w:pPr>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C">
            <w:pPr>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F">
            <w:pPr>
              <w:rPr>
                <w:sz w:val="22"/>
                <w:szCs w:val="22"/>
              </w:rPr>
            </w:pPr>
            <w:r w:rsidDel="00000000" w:rsidR="00000000" w:rsidRPr="00000000">
              <w:rPr>
                <w:rtl w:val="0"/>
              </w:rPr>
            </w:r>
          </w:p>
        </w:tc>
        <w:tc>
          <w:tcPr/>
          <w:p w:rsidR="00000000" w:rsidDel="00000000" w:rsidP="00000000" w:rsidRDefault="00000000" w:rsidRPr="00000000" w14:paraId="00000060">
            <w:pPr>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61">
      <w:pPr>
        <w:rPr>
          <w:sz w:val="22"/>
          <w:szCs w:val="22"/>
        </w:rPr>
      </w:pPr>
      <w:r w:rsidDel="00000000" w:rsidR="00000000" w:rsidRPr="00000000">
        <w:rPr>
          <w:rtl w:val="0"/>
        </w:rPr>
      </w:r>
    </w:p>
    <w:p w:rsidR="00000000" w:rsidDel="00000000" w:rsidP="00000000" w:rsidRDefault="00000000" w:rsidRPr="00000000" w14:paraId="00000062">
      <w:pPr>
        <w:jc w:val="center"/>
        <w:rPr>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3">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2</w:t>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ZPB1</w:t>
      </w:r>
    </w:p>
    <w:p w:rsidR="00000000" w:rsidDel="00000000" w:rsidP="00000000" w:rsidRDefault="00000000" w:rsidRPr="00000000" w14:paraId="00000069">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70,59</w:t>
      </w:r>
    </w:p>
    <w:p w:rsidR="00000000" w:rsidDel="00000000" w:rsidP="00000000" w:rsidRDefault="00000000" w:rsidRPr="00000000" w14:paraId="0000006C">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D">
      <w:pPr>
        <w:spacing w:after="0" w:line="240" w:lineRule="auto"/>
        <w:rPr>
          <w:sz w:val="22"/>
          <w:szCs w:val="22"/>
        </w:rPr>
      </w:pPr>
      <w:r w:rsidDel="00000000" w:rsidR="00000000" w:rsidRPr="00000000">
        <w:rPr>
          <w:rtl w:val="0"/>
        </w:rPr>
      </w:r>
    </w:p>
    <w:tbl>
      <w:tblPr>
        <w:tblStyle w:val="Table8"/>
        <w:tblW w:w="9210.0" w:type="dxa"/>
        <w:jc w:val="left"/>
        <w:tblInd w:w="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210"/>
        <w:tblGridChange w:id="0">
          <w:tblGrid>
            <w:gridCol w:w="9210"/>
          </w:tblGrid>
        </w:tblGridChange>
      </w:tblGrid>
      <w:tr>
        <w:trPr>
          <w:cantSplit w:val="0"/>
          <w:trHeight w:val="945" w:hRule="atLeast"/>
          <w:tblHeader w:val="0"/>
        </w:trPr>
        <w:tc>
          <w:tcPr>
            <w:tcMar>
              <w:top w:w="0.0" w:type="dxa"/>
              <w:bottom w:w="0.0" w:type="dxa"/>
            </w:tcMar>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252"/>
              </w:tabs>
              <w:spacing w:after="0" w:line="240" w:lineRule="auto"/>
              <w:jc w:val="both"/>
              <w:rPr>
                <w:color w:val="000000"/>
                <w:sz w:val="22"/>
                <w:szCs w:val="22"/>
              </w:rPr>
            </w:pPr>
            <w:r w:rsidDel="00000000" w:rsidR="00000000" w:rsidRPr="00000000">
              <w:rPr>
                <w:color w:val="000000"/>
                <w:sz w:val="22"/>
                <w:szCs w:val="22"/>
                <w:rtl w:val="0"/>
              </w:rPr>
              <w:t xml:space="preserve">Hotărârea Consiliului Județean Harghita nr. 13/1995: Cheile Bicazului și Lacul Roșu;</w:t>
            </w:r>
          </w:p>
          <w:p w:rsidR="00000000" w:rsidDel="00000000" w:rsidP="00000000" w:rsidRDefault="00000000" w:rsidRPr="00000000" w14:paraId="0000006F">
            <w:pPr>
              <w:tabs>
                <w:tab w:val="left" w:leader="none" w:pos="252"/>
              </w:tabs>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tabs>
                <w:tab w:val="left" w:leader="none" w:pos="252"/>
              </w:tabs>
              <w:spacing w:after="0" w:line="240" w:lineRule="auto"/>
              <w:jc w:val="both"/>
              <w:rPr>
                <w:sz w:val="22"/>
                <w:szCs w:val="22"/>
              </w:rPr>
            </w:pPr>
            <w:r w:rsidDel="00000000" w:rsidR="00000000" w:rsidRPr="00000000">
              <w:rPr>
                <w:sz w:val="22"/>
                <w:szCs w:val="22"/>
                <w:rtl w:val="0"/>
              </w:rPr>
              <w:t xml:space="preserve">Ordinul ministrului mediului, apelor și pădurilor nr. 1523/2016 privind aprobarea Planului de management și a Regulamentului Parcului Național Cheile Bicazului-Hășmaș și al siturilor Natura 2000 ROSCI0027 și ROSPA0018 Cheile Bicazului-Hășmaș (fără suprafața de suprapunere cu ROSCI0033 Cheile Șugăului-Munticelu);</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252"/>
              </w:tabs>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tc>
      </w:tr>
    </w:tbl>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bookmarkStart w:colFirst="0" w:colLast="0" w:name="_heading=h.ybcq0ly27ozq" w:id="0"/>
      <w:bookmarkEnd w:id="0"/>
      <w:r w:rsidDel="00000000" w:rsidR="00000000" w:rsidRPr="00000000">
        <w:rPr>
          <w:sz w:val="22"/>
          <w:szCs w:val="22"/>
          <w:rtl w:val="0"/>
        </w:rPr>
        <w:t xml:space="preserve">Informația ecologică</w:t>
      </w:r>
    </w:p>
    <w:tbl>
      <w:tblPr>
        <w:tblStyle w:val="Table9"/>
        <w:tblW w:w="8970.0" w:type="dxa"/>
        <w:jc w:val="left"/>
        <w:tblInd w:w="10.0" w:type="dxa"/>
        <w:tblLayout w:type="fixed"/>
        <w:tblLook w:val="0400"/>
      </w:tblPr>
      <w:tblGrid>
        <w:gridCol w:w="2580"/>
        <w:gridCol w:w="6390"/>
        <w:tblGridChange w:id="0">
          <w:tblGrid>
            <w:gridCol w:w="2580"/>
            <w:gridCol w:w="63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național6430;91E0*;9410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9410 - Păduri acidofile de molid (Picea abies) din etajul montan până în cel alpin</w:t>
            </w:r>
          </w:p>
          <w:p w:rsidR="00000000" w:rsidDel="00000000" w:rsidP="00000000" w:rsidRDefault="00000000" w:rsidRPr="00000000" w14:paraId="0000007B">
            <w:pPr>
              <w:spacing w:after="0" w:lineRule="auto"/>
              <w:rPr>
                <w:sz w:val="22"/>
                <w:szCs w:val="22"/>
              </w:rPr>
            </w:pPr>
            <w:r w:rsidDel="00000000" w:rsidR="00000000" w:rsidRPr="00000000">
              <w:rPr>
                <w:b w:val="1"/>
                <w:b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7C">
            <w:pPr>
              <w:rPr>
                <w:i w:val="1"/>
                <w:iCs w:val="1"/>
                <w:sz w:val="22"/>
                <w:szCs w:val="22"/>
              </w:rPr>
            </w:pPr>
            <w:r w:rsidDel="00000000" w:rsidR="00000000" w:rsidRPr="00000000">
              <w:rPr>
                <w:i w:val="1"/>
                <w:iCs w:val="1"/>
                <w:sz w:val="22"/>
                <w:szCs w:val="22"/>
                <w:rtl w:val="0"/>
              </w:rPr>
              <w:t xml:space="preserve">6520 Fânețe montane;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2">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A241 Picoides tridactylus </w:t>
            </w:r>
          </w:p>
          <w:p w:rsidR="00000000" w:rsidDel="00000000" w:rsidP="00000000" w:rsidRDefault="00000000" w:rsidRPr="00000000" w14:paraId="0000008B">
            <w:pPr>
              <w:spacing w:after="0" w:line="240" w:lineRule="auto"/>
              <w:rPr>
                <w:b w:val="1"/>
                <w:bCs w:val="1"/>
                <w:sz w:val="22"/>
                <w:szCs w:val="22"/>
              </w:rPr>
            </w:pPr>
            <w:r w:rsidDel="00000000" w:rsidR="00000000" w:rsidRPr="00000000">
              <w:rPr>
                <w:i w:val="1"/>
                <w:iCs w:val="1"/>
                <w:sz w:val="22"/>
                <w:szCs w:val="22"/>
                <w:rtl w:val="0"/>
              </w:rPr>
              <w:t xml:space="preserve">A234 Picus canus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90">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3">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B">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DE">
      <w:pPr>
        <w:rPr>
          <w:sz w:val="22"/>
          <w:szCs w:val="22"/>
        </w:rPr>
      </w:pPr>
      <w:r w:rsidDel="00000000" w:rsidR="00000000" w:rsidRPr="00000000">
        <w:rPr>
          <w:rtl w:val="0"/>
        </w:rPr>
      </w:r>
    </w:p>
    <w:p w:rsidR="00000000" w:rsidDel="00000000" w:rsidP="00000000" w:rsidRDefault="00000000" w:rsidRPr="00000000" w14:paraId="000000DF">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E0">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ZPB2</w:t>
      </w:r>
    </w:p>
    <w:p w:rsidR="00000000" w:rsidDel="00000000" w:rsidP="00000000" w:rsidRDefault="00000000" w:rsidRPr="00000000" w14:paraId="000000E2">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E3">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rtl w:val="0"/>
        </w:rPr>
        <w:t xml:space="preserve">0,32</w:t>
      </w:r>
      <w:r w:rsidDel="00000000" w:rsidR="00000000" w:rsidRPr="00000000">
        <w:rPr>
          <w:rtl w:val="0"/>
        </w:rPr>
      </w:r>
    </w:p>
    <w:p w:rsidR="00000000" w:rsidDel="00000000" w:rsidP="00000000" w:rsidRDefault="00000000" w:rsidRPr="00000000" w14:paraId="000000E5">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1523/2016 privind aprobarea Planului de management și a Regulamentului Parcului Național Cheile Bicazului-Hășmaș și al siturilor Natura 2000 ROSCI0027 și ROSPA0018 Cheile Bicazului-Hășmaș (fără suprafața de suprapunere cu ROSCI0033 Cheile Șugăului-Munticelu);</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9">
      <w:pPr>
        <w:rPr>
          <w:sz w:val="22"/>
          <w:szCs w:val="22"/>
        </w:rPr>
      </w:pPr>
      <w:r w:rsidDel="00000000" w:rsidR="00000000" w:rsidRPr="00000000">
        <w:rPr>
          <w:sz w:val="22"/>
          <w:szCs w:val="22"/>
          <w:rtl w:val="0"/>
        </w:rPr>
        <w:t xml:space="preserve">Informația ecologică</w:t>
      </w:r>
    </w:p>
    <w:tbl>
      <w:tblPr>
        <w:tblStyle w:val="Table10"/>
        <w:tblW w:w="8964.0" w:type="dxa"/>
        <w:jc w:val="left"/>
        <w:tblInd w:w="10.0" w:type="dxa"/>
        <w:tblLayout w:type="fixed"/>
        <w:tblLook w:val="0400"/>
      </w:tblPr>
      <w:tblGrid>
        <w:gridCol w:w="4372"/>
        <w:gridCol w:w="4592"/>
        <w:tblGridChange w:id="0">
          <w:tblGrid>
            <w:gridCol w:w="4372"/>
            <w:gridCol w:w="459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Rule="auto"/>
              <w:jc w:val="both"/>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EE">
            <w:pPr>
              <w:spacing w:after="0" w:lineRule="auto"/>
              <w:jc w:val="both"/>
              <w:rPr>
                <w:sz w:val="22"/>
                <w:szCs w:val="22"/>
              </w:rPr>
            </w:pPr>
            <w:r w:rsidDel="00000000" w:rsidR="00000000" w:rsidRPr="00000000">
              <w:rPr>
                <w:sz w:val="22"/>
                <w:szCs w:val="22"/>
                <w:rtl w:val="0"/>
              </w:rPr>
              <w:t xml:space="preserve">9110 Păduri de fag de tip </w:t>
            </w:r>
            <w:r w:rsidDel="00000000" w:rsidR="00000000" w:rsidRPr="00000000">
              <w:rPr>
                <w:i w:val="1"/>
                <w:iCs w:val="1"/>
                <w:sz w:val="22"/>
                <w:szCs w:val="22"/>
                <w:rtl w:val="0"/>
              </w:rPr>
              <w:t xml:space="preserve">Luzulo-Fagetum</w:t>
            </w:r>
            <w:r w:rsidDel="00000000" w:rsidR="00000000" w:rsidRPr="00000000">
              <w:rPr>
                <w:rtl w:val="0"/>
              </w:rPr>
            </w:r>
          </w:p>
          <w:p w:rsidR="00000000" w:rsidDel="00000000" w:rsidP="00000000" w:rsidRDefault="00000000" w:rsidRPr="00000000" w14:paraId="000000EF">
            <w:pPr>
              <w:spacing w:after="0" w:lineRule="auto"/>
              <w:jc w:val="both"/>
              <w:rPr>
                <w:i w:val="1"/>
                <w:iCs w:val="1"/>
                <w:sz w:val="22"/>
                <w:szCs w:val="22"/>
              </w:rPr>
            </w:pPr>
            <w:r w:rsidDel="00000000" w:rsidR="00000000" w:rsidRPr="00000000">
              <w:rPr>
                <w:sz w:val="22"/>
                <w:szCs w:val="22"/>
                <w:rtl w:val="0"/>
              </w:rPr>
              <w:t xml:space="preserve">9410 Păduri acidofile de Picea abies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F2">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F3">
            <w:pPr>
              <w:spacing w:after="0" w:line="24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F4">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5">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F6">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F7">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F8">
            <w:pPr>
              <w:spacing w:after="0" w:line="240" w:lineRule="auto"/>
              <w:rPr>
                <w:i w:val="1"/>
                <w:iCs w:val="1"/>
                <w:sz w:val="22"/>
                <w:szCs w:val="22"/>
              </w:rPr>
            </w:pPr>
            <w:r w:rsidDel="00000000" w:rsidR="00000000" w:rsidRPr="00000000">
              <w:rPr>
                <w:i w:val="1"/>
                <w:iCs w:val="1"/>
                <w:sz w:val="22"/>
                <w:szCs w:val="22"/>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F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FC">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0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0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0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0B">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C">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D">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E">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11">
      <w:pPr>
        <w:jc w:val="center"/>
        <w:rPr>
          <w:b w:val="1"/>
          <w:bCs w:val="1"/>
          <w:sz w:val="22"/>
          <w:szCs w:val="22"/>
        </w:rPr>
      </w:pPr>
      <w:r w:rsidDel="00000000" w:rsidR="00000000" w:rsidRPr="00000000">
        <w:rPr>
          <w:rtl w:val="0"/>
        </w:rPr>
      </w:r>
    </w:p>
    <w:p w:rsidR="00000000" w:rsidDel="00000000" w:rsidP="00000000" w:rsidRDefault="00000000" w:rsidRPr="00000000" w14:paraId="00000112">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tbl>
      <w:tblPr>
        <w:tblStyle w:val="Table11"/>
        <w:tblW w:w="9090.0" w:type="dxa"/>
        <w:jc w:val="left"/>
        <w:tblInd w:w="-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90"/>
        <w:tblGridChange w:id="0">
          <w:tblGrid>
            <w:gridCol w:w="9090"/>
          </w:tblGrid>
        </w:tblGridChange>
      </w:tblGrid>
      <w:tr>
        <w:trPr>
          <w:cantSplit w:val="0"/>
          <w:trHeight w:val="285" w:hRule="atLeast"/>
          <w:tblHeader w:val="0"/>
        </w:trPr>
        <w:tc>
          <w:tcPr>
            <w:tcMar>
              <w:top w:w="0.0" w:type="dxa"/>
              <w:bottom w:w="0.0" w:type="dxa"/>
            </w:tcMar>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A.György, A.Kovács, V.Prepeliţă, M.Dóczy, 1985, Pajiştile din munţii Hăşmaş, Lucr. Inst. Cerc. Cult. Paj. Măgurele, Braşov, tom. X, 417-439;</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C.Dobrescu, V.Ghenciu, 1970, Aspecte din vegetaţia Lacului Roşu, Stud. şi Comunic. Muz. Şt. Nat. Bacău, 129-136. 21;</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C.Dobrescu, V.Ghenciu, 1971, Contribuţii la cunoaşterea florei Lacului Roşu şi a împrejurimilor sale, Carpaţii Orientali, Anuarul Muz. Şt. Nat. Piatra-Neamţ, II, 31-48;</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C.Grasu, I.Turculeţ, 1980, Rezervaţia Lacu Roşu-Cheile Bicazului. Particularităţile geologice şi geomorfologice, Editura Înconj., 2, 135-145;</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C.L.Horeanu, 1979, Consideraţii asupra florei şi vegetaţiei complexului carstic Cheile Bicazului-Lacu Roşu ms. Piatra-Neamţ, 137-150;</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C.L.Horeanu,1979, Flora rezervaţiei naturale Munticelu-Cheile Şugăului, jud. Neamţ, An. Muz. Şt. Nat. Piatra-Neamţ, 75-86;</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40" w:lineRule="auto"/>
              <w:jc w:val="both"/>
              <w:rPr>
                <w:sz w:val="22"/>
                <w:szCs w:val="22"/>
              </w:rPr>
            </w:pPr>
            <w:r w:rsidDel="00000000" w:rsidR="00000000" w:rsidRPr="00000000">
              <w:rPr>
                <w:sz w:val="22"/>
                <w:szCs w:val="22"/>
                <w:rtl w:val="0"/>
              </w:rPr>
              <w:t xml:space="preserve">Hotărârea Consiliului Județean Harghita nr. 13/1995 pentru înființarea rezervației naturale Cheile Bicazului și Lacul Roșu.</w:t>
            </w:r>
          </w:p>
        </w:tc>
      </w:tr>
    </w:tbl>
    <w:p w:rsidR="00000000" w:rsidDel="00000000" w:rsidP="00000000" w:rsidRDefault="00000000" w:rsidRPr="00000000" w14:paraId="0000011A">
      <w:pPr>
        <w:rPr>
          <w:sz w:val="22"/>
          <w:szCs w:val="22"/>
        </w:rPr>
      </w:pPr>
      <w:r w:rsidDel="00000000" w:rsidR="00000000" w:rsidRPr="00000000">
        <w:rPr>
          <w:rtl w:val="0"/>
        </w:rPr>
      </w:r>
    </w:p>
    <w:p w:rsidR="00000000" w:rsidDel="00000000" w:rsidP="00000000" w:rsidRDefault="00000000" w:rsidRPr="00000000" w14:paraId="0000011B">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r>
    </w:p>
    <w:p w:rsidR="00000000" w:rsidDel="00000000" w:rsidP="00000000" w:rsidRDefault="00000000" w:rsidRPr="00000000" w14:paraId="0000011C">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kr19hz9yw9og" w:id="1"/>
      <w:bookmarkEnd w:id="1"/>
      <w:r w:rsidDel="00000000" w:rsidR="00000000" w:rsidRPr="00000000">
        <w:rPr>
          <w:sz w:val="22"/>
          <w:szCs w:val="22"/>
          <w:rtl w:val="0"/>
        </w:rPr>
        <w:t xml:space="preserve">Consultări publice realizate: 18 iunie 2025 – Miercurea Ciuc, Județul Harghita; 16 decembrie 2024 – corespondență DS Neamț, 18 martie 2025 - Piatra-Neamț, jud. Neamț.</w:t>
      </w:r>
    </w:p>
    <w:p w:rsidR="00000000" w:rsidDel="00000000" w:rsidP="00000000" w:rsidRDefault="00000000" w:rsidRPr="00000000" w14:paraId="0000011D">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 avut loc o consultare suplimentară online în data de 19 ianuarie 2026 pentru județul Harghita și în data de 14 ianuarie 2026 pentru județul Neamț  și apoi în 26-27 martie 2026  consultare la Prefectura Harghita, cu participarea factorilor interesați relevanți din județul Harghita.</w:t>
      </w:r>
    </w:p>
    <w:p w:rsidR="00000000" w:rsidDel="00000000" w:rsidP="00000000" w:rsidRDefault="00000000" w:rsidRPr="00000000" w14:paraId="0000011E">
      <w:pPr>
        <w:rPr>
          <w:sz w:val="22"/>
          <w:szCs w:val="22"/>
        </w:rPr>
      </w:pPr>
      <w:r w:rsidDel="00000000" w:rsidR="00000000" w:rsidRPr="00000000">
        <w:rPr>
          <w:rtl w:val="0"/>
        </w:rPr>
      </w:r>
    </w:p>
    <w:p w:rsidR="00000000" w:rsidDel="00000000" w:rsidP="00000000" w:rsidRDefault="00000000" w:rsidRPr="00000000" w14:paraId="0000011F">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20">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21">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mEG3W+pJujNfvKNKa73OLScVdA==">CgMxLjAyDmgueWJjcTBseTI3b3pxMg5oLmtyMTloejl5dzlvZzgAciExckNDUzNGTFkwc21ZVmUydFhZVDN2a290ak8yMENpNEY=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